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79C5" w14:textId="5FD2B026" w:rsidR="009166B8" w:rsidRPr="001C36A2" w:rsidRDefault="0000000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Phụ lục</w:t>
      </w:r>
    </w:p>
    <w:p w14:paraId="60BCE070" w14:textId="4CE41F70" w:rsidR="009166B8" w:rsidRPr="001C36A2" w:rsidRDefault="0000000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DANH MỤC NGÀNH, NGHỀ TÍNH THUẾ THU NHẬP CÁ NHÂN</w:t>
      </w:r>
      <w:r w:rsidR="00322933">
        <w:rPr>
          <w:rFonts w:ascii="Arial" w:hAnsi="Arial" w:cs="Arial"/>
          <w:color w:val="000000" w:themeColor="text1"/>
          <w:sz w:val="20"/>
          <w:szCs w:val="20"/>
        </w:rPr>
        <w:br/>
      </w:r>
      <w:r w:rsidRPr="001C36A2">
        <w:rPr>
          <w:rFonts w:ascii="Arial" w:hAnsi="Arial" w:cs="Arial"/>
          <w:b/>
          <w:color w:val="000000" w:themeColor="text1"/>
          <w:sz w:val="20"/>
          <w:szCs w:val="20"/>
        </w:rPr>
        <w:t>THEO THUẾ SUẤT TRÊN DOANH THU ĐỐI VỚI</w:t>
      </w:r>
      <w:r w:rsidR="00322933">
        <w:rPr>
          <w:rFonts w:ascii="Arial" w:hAnsi="Arial" w:cs="Arial"/>
          <w:color w:val="000000" w:themeColor="text1"/>
          <w:sz w:val="20"/>
          <w:szCs w:val="20"/>
        </w:rPr>
        <w:br/>
      </w:r>
      <w:r w:rsidRPr="001C36A2">
        <w:rPr>
          <w:rFonts w:ascii="Arial" w:hAnsi="Arial" w:cs="Arial"/>
          <w:b/>
          <w:color w:val="000000" w:themeColor="text1"/>
          <w:sz w:val="20"/>
          <w:szCs w:val="20"/>
        </w:rPr>
        <w:t>CÁ NHÂN CƯ TRÚ CÓ THU NHẬP TỪ KINH DOANH</w:t>
      </w:r>
    </w:p>
    <w:p w14:paraId="62F2ABD0" w14:textId="06606CB4" w:rsidR="009166B8" w:rsidRPr="001C36A2" w:rsidRDefault="0000000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i/>
          <w:color w:val="000000" w:themeColor="text1"/>
          <w:sz w:val="20"/>
          <w:szCs w:val="20"/>
        </w:rPr>
        <w:t>(Kèm theo Nghị định số 253/2026/NĐ-CP</w:t>
      </w:r>
      <w:r w:rsidR="00322933">
        <w:rPr>
          <w:rFonts w:ascii="Arial" w:hAnsi="Arial" w:cs="Arial"/>
          <w:color w:val="000000" w:themeColor="text1"/>
          <w:sz w:val="20"/>
          <w:szCs w:val="20"/>
        </w:rPr>
        <w:br/>
      </w:r>
      <w:r w:rsidRPr="001C36A2">
        <w:rPr>
          <w:rFonts w:ascii="Arial" w:hAnsi="Arial" w:cs="Arial"/>
          <w:i/>
          <w:color w:val="000000" w:themeColor="text1"/>
          <w:sz w:val="20"/>
          <w:szCs w:val="20"/>
        </w:rPr>
        <w:t>ngày 30 tháng 6 năm 2026 của Chính phủ)</w:t>
      </w:r>
    </w:p>
    <w:p w14:paraId="12B63D22" w14:textId="77777777" w:rsidR="009166B8" w:rsidRPr="001C36A2" w:rsidRDefault="009166B8" w:rsidP="00322933">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7065"/>
        <w:gridCol w:w="1387"/>
      </w:tblGrid>
      <w:tr w:rsidR="001C36A2" w:rsidRPr="001C36A2" w14:paraId="2365F76E" w14:textId="77777777" w:rsidTr="007D5FDE">
        <w:tc>
          <w:tcPr>
            <w:tcW w:w="313" w:type="pct"/>
          </w:tcPr>
          <w:p w14:paraId="7453EA69"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STT</w:t>
            </w:r>
          </w:p>
        </w:tc>
        <w:tc>
          <w:tcPr>
            <w:tcW w:w="3918" w:type="pct"/>
          </w:tcPr>
          <w:p w14:paraId="5254ACAA"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Danh mục ngành, nghề</w:t>
            </w:r>
          </w:p>
        </w:tc>
        <w:tc>
          <w:tcPr>
            <w:tcW w:w="769" w:type="pct"/>
          </w:tcPr>
          <w:p w14:paraId="1570CC9A"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Thuế suất</w:t>
            </w:r>
          </w:p>
        </w:tc>
      </w:tr>
      <w:tr w:rsidR="001C36A2" w:rsidRPr="001C36A2" w14:paraId="32440D65" w14:textId="77777777" w:rsidTr="007D5FDE">
        <w:tc>
          <w:tcPr>
            <w:tcW w:w="313" w:type="pct"/>
            <w:vMerge w:val="restart"/>
          </w:tcPr>
          <w:p w14:paraId="19D1F561"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1.</w:t>
            </w:r>
          </w:p>
        </w:tc>
        <w:tc>
          <w:tcPr>
            <w:tcW w:w="3918" w:type="pct"/>
          </w:tcPr>
          <w:p w14:paraId="26BF497B" w14:textId="7777777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Phân phối, cung cấp hàng hóa quy định tại điểm b khoản 3 Điều 7 Luật Thuế thu nhập cá nhân.</w:t>
            </w:r>
          </w:p>
        </w:tc>
        <w:tc>
          <w:tcPr>
            <w:tcW w:w="769" w:type="pct"/>
          </w:tcPr>
          <w:p w14:paraId="1372B2DA"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r>
      <w:tr w:rsidR="001C36A2" w:rsidRPr="001C36A2" w14:paraId="6CFF1CE2" w14:textId="77777777" w:rsidTr="007D5FDE">
        <w:tc>
          <w:tcPr>
            <w:tcW w:w="313" w:type="pct"/>
            <w:vMerge/>
          </w:tcPr>
          <w:p w14:paraId="77C29801"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vAlign w:val="bottom"/>
          </w:tcPr>
          <w:p w14:paraId="7F4E6707" w14:textId="20BEB039"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bán buôn, bán lẻ các loại hàng hóa (trừ giá trị hàng hóa đại lý bán đúng giá hưởng hoa hồng);</w:t>
            </w:r>
          </w:p>
          <w:p w14:paraId="7DD383BB" w14:textId="4E7B3F91"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Khoản thưởng, hỗ trợ đạt doanh số, khuyến mại, chiết khấu thanh toán, chi hỗ trợ bằng tiền hoặc không bằng tiền cho cá nhân kinh doanh;</w:t>
            </w:r>
          </w:p>
          <w:p w14:paraId="36719771" w14:textId="694274BE"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phân phối, cung cấp hàng hóa không chịu thuế giá trị gia tăng, không phải khai thuế giá trị gia tăng, thuộc diện chịu thuế giá trị gia tăng 0% theo pháp luật về thuế giá trị gia tăng;</w:t>
            </w:r>
          </w:p>
          <w:p w14:paraId="3ECBA34A" w14:textId="35857969"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hợp tác kinh doanh với tổ chức thuộc nhóm ngành nghề này mà tổ chức có trách nhiệm khai thuế giá trị gia tăng đối với toàn bộ doanh thu của hoạt động hợp tác kinh doanh theo quy định;</w:t>
            </w:r>
          </w:p>
          <w:p w14:paraId="25443489" w14:textId="5C8F898F"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Khoản thưởng, hỗ trợ đạt doanh số, khuyến mại, chiết khấu thanh toán, chi hỗ trợ bằng tiền hoặc không bằng tiền cho cá nhân kinh doanh gắn với mua hàng hóa, dịch vụ thuộc đối tượng không chịu thuế giá trị gia tăng, không phải khai thuế giá trị gia tăng, thuộc diện chịu thuế giá trị gia tăng 0% theo pháp luật về thuế giá trị gia tăng;</w:t>
            </w:r>
          </w:p>
          <w:p w14:paraId="44A03FC4" w14:textId="099D19AE"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Khoản bồi thường vi phạm hợp đồng, bồi thường khác.</w:t>
            </w:r>
          </w:p>
        </w:tc>
        <w:tc>
          <w:tcPr>
            <w:tcW w:w="769" w:type="pct"/>
            <w:vAlign w:val="center"/>
          </w:tcPr>
          <w:p w14:paraId="52BB0D6E"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0,5%</w:t>
            </w:r>
          </w:p>
        </w:tc>
      </w:tr>
      <w:tr w:rsidR="001C36A2" w:rsidRPr="001C36A2" w14:paraId="6E4EDC36" w14:textId="77777777" w:rsidTr="007D5FDE">
        <w:tc>
          <w:tcPr>
            <w:tcW w:w="313" w:type="pct"/>
            <w:vMerge w:val="restart"/>
          </w:tcPr>
          <w:p w14:paraId="120407D6"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2.</w:t>
            </w:r>
          </w:p>
        </w:tc>
        <w:tc>
          <w:tcPr>
            <w:tcW w:w="3918" w:type="pct"/>
          </w:tcPr>
          <w:p w14:paraId="3FAD486D" w14:textId="7777777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Dịch vụ, xây dựng không bao thầu nguyên vật liệu quy định tại điểm c khoản 3 Điều 7 Luật Thuế thu nhập cá nhân.</w:t>
            </w:r>
          </w:p>
        </w:tc>
        <w:tc>
          <w:tcPr>
            <w:tcW w:w="769" w:type="pct"/>
          </w:tcPr>
          <w:p w14:paraId="75C05376"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r>
      <w:tr w:rsidR="001C36A2" w:rsidRPr="001C36A2" w14:paraId="2E77F192" w14:textId="77777777" w:rsidTr="00A545AC">
        <w:tc>
          <w:tcPr>
            <w:tcW w:w="313" w:type="pct"/>
            <w:vMerge/>
          </w:tcPr>
          <w:p w14:paraId="6262F7AE"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vAlign w:val="bottom"/>
          </w:tcPr>
          <w:p w14:paraId="09C4B5FE" w14:textId="6AEEDCCF"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lưu trú gồm: hoạt động cung cấp cơ sở lưu trú ngắn hạn cho khách du lịch, khách vãng lai khác; hoạt động cung cấp cơ sở lưu trú dài hạn không phải là căn hộ cho sinh viên, công nhân và những đối tượng tương tự; hoạt động cung cấp cơ sở lưu trú cùng dịch vụ ăn uống hoặc các phương tiện giải trí;</w:t>
            </w:r>
          </w:p>
          <w:p w14:paraId="171B8A4E" w14:textId="77777777" w:rsidR="00322933"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bốc xếp hàng hóa và hoạt động dịch vụ hỗ trợ</w:t>
            </w:r>
            <w:r w:rsidR="00322933">
              <w:rPr>
                <w:rFonts w:ascii="Arial" w:hAnsi="Arial" w:cs="Arial"/>
                <w:color w:val="000000" w:themeColor="text1"/>
                <w:sz w:val="20"/>
                <w:szCs w:val="20"/>
              </w:rPr>
              <w:t xml:space="preserve"> </w:t>
            </w:r>
            <w:r w:rsidR="00322933" w:rsidRPr="001C36A2">
              <w:rPr>
                <w:rFonts w:ascii="Arial" w:hAnsi="Arial" w:cs="Arial"/>
                <w:color w:val="000000" w:themeColor="text1"/>
                <w:sz w:val="20"/>
                <w:szCs w:val="20"/>
              </w:rPr>
              <w:t>khác liên quan đến vận tải như kinh doanh bến bãi, bán vé, trông giữ phương tiện;</w:t>
            </w:r>
          </w:p>
          <w:p w14:paraId="1695982C"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bưu chính, chuyển phát thư tín và bưu kiện;</w:t>
            </w:r>
          </w:p>
          <w:p w14:paraId="03FB8E8E"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môi giới, đấu giá và hoa hồng đại lý;</w:t>
            </w:r>
          </w:p>
          <w:p w14:paraId="64988466"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tư vấn pháp luật, tư vấn tài chính, kế toán, kiểm toán; dịch vụ làm thủ tục hành chính thuế, hải quan;</w:t>
            </w:r>
          </w:p>
          <w:p w14:paraId="4A1C1A57"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xử lý dữ liệu, cho thuê cổng thông tin, thiết bị công nghệ thông tin, viễn thông, quảng cáo;</w:t>
            </w:r>
          </w:p>
          <w:p w14:paraId="332B5AEA"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hỗ trợ văn phòng và các dịch vụ hỗ trợ kinh doanh khác;</w:t>
            </w:r>
          </w:p>
          <w:p w14:paraId="214B9EA6"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tắm hơi, massage, karaoke, vũ trường, bi-a, internet;</w:t>
            </w:r>
          </w:p>
          <w:p w14:paraId="6D11FF66"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may đo, giặt là; cắt tóc, làm đầu, gội đầu;</w:t>
            </w:r>
          </w:p>
          <w:p w14:paraId="667FD5A0"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sửa chữa khác bao gồm: sửa chữa máy vi tính và các đồ dùng gia đình;</w:t>
            </w:r>
          </w:p>
          <w:p w14:paraId="513358C7"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tư vấn, thiết kế, giám sát thi công xây dựng cơ bản;</w:t>
            </w:r>
          </w:p>
          <w:p w14:paraId="39E1BB96"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Các dịch vụ khác thuộc đối tượng tính thuế giá trị gia tăng theo phương pháp khấu trừ với mức thuế suất thuế giá trị gia tăng 10%;</w:t>
            </w:r>
          </w:p>
          <w:p w14:paraId="23E6358C"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Xây dựng, lắp đặt không bao thầu nguyên vật liệu (bao gồm cả lắp đặt máy móc, thiết bị công nghiệp);</w:t>
            </w:r>
          </w:p>
          <w:p w14:paraId="51A0FD59" w14:textId="2F8E1329"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cung cấp dịch vụ không chịu thuế gia tăng, không phải khai thuế</w:t>
            </w:r>
            <w:r w:rsidR="007A6B99">
              <w:rPr>
                <w:rFonts w:ascii="Arial" w:hAnsi="Arial" w:cs="Arial"/>
                <w:color w:val="000000" w:themeColor="text1"/>
                <w:sz w:val="20"/>
                <w:szCs w:val="20"/>
              </w:rPr>
              <w:t xml:space="preserve"> </w:t>
            </w:r>
            <w:r w:rsidRPr="001C36A2">
              <w:rPr>
                <w:rFonts w:ascii="Arial" w:hAnsi="Arial" w:cs="Arial"/>
                <w:color w:val="000000" w:themeColor="text1"/>
                <w:sz w:val="20"/>
                <w:szCs w:val="20"/>
              </w:rPr>
              <w:t>gia tăng, thuộc diện chịu thuế giá trị gia tăng 0% theo pháp luật về thuế giá trị gia tăng;</w:t>
            </w:r>
          </w:p>
          <w:p w14:paraId="28240FBB" w14:textId="577E7AD3"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hợp tác kinh doanh với tổ chức thuộc nhóm ngành nghề này mà tổ chức có trách nhiệm khai thuế giá trị gia tăng đối với toàn bộ doanh thu của hoạt động hợp tác kinh doanh theo quy định;</w:t>
            </w:r>
          </w:p>
          <w:p w14:paraId="5A867457" w14:textId="0A7C4EF4" w:rsidR="009166B8"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Khoản bồi thường vi phạm hợp đồng, bồi thường khác.</w:t>
            </w:r>
          </w:p>
        </w:tc>
        <w:tc>
          <w:tcPr>
            <w:tcW w:w="769" w:type="pct"/>
            <w:vAlign w:val="center"/>
          </w:tcPr>
          <w:p w14:paraId="732A07BE" w14:textId="2A3AD462" w:rsidR="009166B8" w:rsidRPr="001C36A2" w:rsidRDefault="00322933" w:rsidP="00A545AC">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lastRenderedPageBreak/>
              <w:t>2%</w:t>
            </w:r>
          </w:p>
        </w:tc>
      </w:tr>
      <w:tr w:rsidR="001C36A2" w:rsidRPr="001C36A2" w14:paraId="2DD8355B" w14:textId="77777777" w:rsidTr="007D5FDE">
        <w:tc>
          <w:tcPr>
            <w:tcW w:w="313" w:type="pct"/>
            <w:vMerge/>
          </w:tcPr>
          <w:p w14:paraId="78B2E4A2"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tcPr>
          <w:p w14:paraId="01FA0F5F" w14:textId="2DF28460"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Cho thuê tài sản gồm:</w:t>
            </w:r>
          </w:p>
          <w:p w14:paraId="712C4E01" w14:textId="7777777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Cho thuê nhà, đất, cửa hàng, nhà xưởng, kho bãi (trừ dịch vụ lưu trú);</w:t>
            </w:r>
          </w:p>
          <w:p w14:paraId="4BB979CC" w14:textId="7777777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Cho thuê phương tiện vận tải, máy móc thiết bị không kèm theo người điều khiển;</w:t>
            </w:r>
          </w:p>
          <w:p w14:paraId="25825436" w14:textId="190BE1FE" w:rsidR="009166B8" w:rsidRPr="001C36A2" w:rsidRDefault="001F37F1" w:rsidP="00322933">
            <w:pPr>
              <w:adjustRightInd w:val="0"/>
              <w:snapToGrid w:val="0"/>
              <w:spacing w:before="40" w:after="4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Cho thuê tài sản khác không kèm theo dịch vụ.</w:t>
            </w:r>
          </w:p>
          <w:p w14:paraId="13E571F0" w14:textId="18B8FAD4"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Làm đại lý xổ số, đại lý bảo hiểm, bán hàng đa cấp;</w:t>
            </w:r>
          </w:p>
          <w:p w14:paraId="6450C141" w14:textId="0B7B5E4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Khoản bồi thường vi phạm hợp đồng, bồi thường khác.</w:t>
            </w:r>
          </w:p>
        </w:tc>
        <w:tc>
          <w:tcPr>
            <w:tcW w:w="769" w:type="pct"/>
            <w:vAlign w:val="center"/>
          </w:tcPr>
          <w:p w14:paraId="0912B5E1"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5%</w:t>
            </w:r>
          </w:p>
        </w:tc>
      </w:tr>
      <w:tr w:rsidR="001C36A2" w:rsidRPr="001C36A2" w14:paraId="4CB17E59" w14:textId="77777777" w:rsidTr="007D5FDE">
        <w:tc>
          <w:tcPr>
            <w:tcW w:w="313" w:type="pct"/>
            <w:vMerge w:val="restart"/>
          </w:tcPr>
          <w:p w14:paraId="14132A83"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3.</w:t>
            </w:r>
          </w:p>
        </w:tc>
        <w:tc>
          <w:tcPr>
            <w:tcW w:w="3918" w:type="pct"/>
          </w:tcPr>
          <w:p w14:paraId="3E529C76" w14:textId="7777777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Sản xuất, vận tải, dịch vụ có gắn với hàng hóa, xây dựng có bao thầu nguyên vật liệu quy định tại điểm d khoản 3 Điều 7 Luật Thuế thu nhập cá nhân.</w:t>
            </w:r>
          </w:p>
        </w:tc>
        <w:tc>
          <w:tcPr>
            <w:tcW w:w="769" w:type="pct"/>
          </w:tcPr>
          <w:p w14:paraId="02492F8A"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r>
      <w:tr w:rsidR="001C36A2" w:rsidRPr="001C36A2" w14:paraId="7ED23D71" w14:textId="77777777" w:rsidTr="007D5FDE">
        <w:tc>
          <w:tcPr>
            <w:tcW w:w="313" w:type="pct"/>
            <w:vMerge/>
          </w:tcPr>
          <w:p w14:paraId="50490588"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tcPr>
          <w:p w14:paraId="1C662426" w14:textId="16DC734E"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Sản xuất, gia công, chế biến sản phẩm hàng hóa;</w:t>
            </w:r>
          </w:p>
          <w:p w14:paraId="1585954E" w14:textId="224042F1"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Khai thác, chế biến khoáng sản;</w:t>
            </w:r>
          </w:p>
          <w:p w14:paraId="40BDA076" w14:textId="1654D598"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Vận tải hàng hóa, vận tải hành khách;</w:t>
            </w:r>
          </w:p>
          <w:p w14:paraId="45C1A183" w14:textId="4F92EAFB"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kèm theo bán hàng hóa như dịch vụ đào tạo, bảo dưỡng, chuyển giao công nghệ kèm theo bán sản phẩm;</w:t>
            </w:r>
          </w:p>
          <w:p w14:paraId="305E05D8" w14:textId="524D72F4"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ăn uống;</w:t>
            </w:r>
          </w:p>
          <w:p w14:paraId="2212EE7C" w14:textId="003FD755"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sửa chữa và bảo dưỡng máy móc thiết bị, phương tiện vận tải, ô tô, mô tô, xe máy và xe có động cơ khác;</w:t>
            </w:r>
          </w:p>
          <w:p w14:paraId="4B53DBAB" w14:textId="2C347F71"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Xây dựng, lắp đặt có bao thầu nguyên vật liệu (bao gồm cả lắp đặt máy móc, thiết bị công nghiệp);</w:t>
            </w:r>
          </w:p>
          <w:p w14:paraId="6B1F1A0B" w14:textId="7509E84B"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khác thuộc đối tượng tính thuế giá trị gia tăng theo phương pháp khấu trừ với mức thuế suất thuế giá trị gia tăng 10%;</w:t>
            </w:r>
          </w:p>
          <w:p w14:paraId="2336F98E" w14:textId="18217019"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không chịu thuế giá trị gia tăng, không phải khai thuế giá trị gia tăng, thuộc diện chịu thuế giá trị gia tăng 0% theo pháp luật về thuế giá trị gia tăng;</w:t>
            </w:r>
          </w:p>
          <w:p w14:paraId="0F10833F" w14:textId="55D62375"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hợp tác kinh doanh với tổ chức thuộc nhóm ngành nghề này mà tổ chức có trách nhiệm khai thuế giá trị gia tăng đối với toàn bộ doanh thu của hoạt động hợp tác kinh doanh theo quy định.</w:t>
            </w:r>
          </w:p>
        </w:tc>
        <w:tc>
          <w:tcPr>
            <w:tcW w:w="769" w:type="pct"/>
            <w:vAlign w:val="center"/>
          </w:tcPr>
          <w:p w14:paraId="0787C661"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1,5%</w:t>
            </w:r>
          </w:p>
        </w:tc>
      </w:tr>
      <w:tr w:rsidR="001C36A2" w:rsidRPr="001C36A2" w14:paraId="0C8B215A" w14:textId="77777777" w:rsidTr="007D5FDE">
        <w:tc>
          <w:tcPr>
            <w:tcW w:w="313" w:type="pct"/>
            <w:vAlign w:val="center"/>
          </w:tcPr>
          <w:p w14:paraId="628C1FD2"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4.</w:t>
            </w:r>
          </w:p>
        </w:tc>
        <w:tc>
          <w:tcPr>
            <w:tcW w:w="3918" w:type="pct"/>
            <w:vAlign w:val="bottom"/>
          </w:tcPr>
          <w:p w14:paraId="34AD9A39" w14:textId="7777777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Hoạt động cung cấp sản phẩm và dịch vụ nội dung thông tin số về giải trí, trò chơi điện tử, phim số, ảnh số, nhạc số, quảng cáo số quy định tại điểm đ khoản 3 Điều 7 Luật Thuế thu nhập cá nhân.</w:t>
            </w:r>
          </w:p>
        </w:tc>
        <w:tc>
          <w:tcPr>
            <w:tcW w:w="769" w:type="pct"/>
            <w:vAlign w:val="center"/>
          </w:tcPr>
          <w:p w14:paraId="03025BDF"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5%</w:t>
            </w:r>
          </w:p>
        </w:tc>
      </w:tr>
      <w:tr w:rsidR="001C36A2" w:rsidRPr="001C36A2" w14:paraId="02408E39" w14:textId="77777777" w:rsidTr="007D5FDE">
        <w:tc>
          <w:tcPr>
            <w:tcW w:w="313" w:type="pct"/>
            <w:vMerge w:val="restart"/>
          </w:tcPr>
          <w:p w14:paraId="508B3B09"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5.</w:t>
            </w:r>
          </w:p>
        </w:tc>
        <w:tc>
          <w:tcPr>
            <w:tcW w:w="3918" w:type="pct"/>
            <w:vAlign w:val="bottom"/>
          </w:tcPr>
          <w:p w14:paraId="0864A1BA" w14:textId="77777777"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Hoạt động kinh doanh khác quy định tại điểm e khoản 3 Điều 7 Luật Thuế thu nhập cá nhân.</w:t>
            </w:r>
          </w:p>
        </w:tc>
        <w:tc>
          <w:tcPr>
            <w:tcW w:w="769" w:type="pct"/>
          </w:tcPr>
          <w:p w14:paraId="179D227B"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r>
      <w:tr w:rsidR="001C36A2" w:rsidRPr="001C36A2" w14:paraId="52A9B379" w14:textId="77777777" w:rsidTr="007D5FDE">
        <w:tc>
          <w:tcPr>
            <w:tcW w:w="313" w:type="pct"/>
            <w:vMerge/>
          </w:tcPr>
          <w:p w14:paraId="019CC367"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tcPr>
          <w:p w14:paraId="7600FDB7" w14:textId="131B1812"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sản xuất các sản phẩm thuộc đối tượng tính thuế giá trị gia tăng theo phương pháp khấu trừ với mức thuế suất thuế giá trị gia tăng 5%;</w:t>
            </w:r>
          </w:p>
          <w:p w14:paraId="1F124844" w14:textId="117738D8"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cung cấp các dịch vụ thuộc đối tượng tính thuế giá trị gia tăng theo phương pháp khấu trừ với mức thuế suất thuế giá trị gia tăng 5%;</w:t>
            </w:r>
          </w:p>
          <w:p w14:paraId="1B6B2A01" w14:textId="25CC62D4" w:rsidR="009166B8" w:rsidRPr="001C36A2" w:rsidRDefault="0000000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khác chưa được liệt kê ở các nhóm 1, 2, 3, 4 nêu trên.</w:t>
            </w:r>
          </w:p>
        </w:tc>
        <w:tc>
          <w:tcPr>
            <w:tcW w:w="769" w:type="pct"/>
            <w:vAlign w:val="center"/>
          </w:tcPr>
          <w:p w14:paraId="79371EE8" w14:textId="77777777" w:rsidR="009166B8" w:rsidRPr="001C36A2" w:rsidRDefault="0000000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1%</w:t>
            </w:r>
          </w:p>
        </w:tc>
      </w:tr>
    </w:tbl>
    <w:p w14:paraId="53571946" w14:textId="77777777" w:rsidR="00B063FB" w:rsidRPr="001C36A2" w:rsidRDefault="00B063FB" w:rsidP="001C36A2">
      <w:pPr>
        <w:adjustRightInd w:val="0"/>
        <w:snapToGrid w:val="0"/>
        <w:spacing w:after="120" w:line="240" w:lineRule="auto"/>
        <w:ind w:firstLine="720"/>
        <w:jc w:val="both"/>
        <w:rPr>
          <w:rFonts w:ascii="Arial" w:hAnsi="Arial" w:cs="Arial"/>
          <w:color w:val="000000" w:themeColor="text1"/>
          <w:sz w:val="20"/>
          <w:szCs w:val="20"/>
        </w:rPr>
      </w:pPr>
    </w:p>
    <w:sectPr w:rsidR="00B063FB" w:rsidRPr="001C36A2" w:rsidSect="001C36A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D3B66" w14:textId="77777777" w:rsidR="00345978" w:rsidRDefault="00345978">
      <w:pPr>
        <w:spacing w:after="0" w:line="240" w:lineRule="auto"/>
      </w:pPr>
      <w:r>
        <w:separator/>
      </w:r>
    </w:p>
  </w:endnote>
  <w:endnote w:type="continuationSeparator" w:id="0">
    <w:p w14:paraId="6B7544D4" w14:textId="77777777" w:rsidR="00345978" w:rsidRDefault="00345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7A0A5" w14:textId="77777777" w:rsidR="00345978" w:rsidRDefault="00345978">
      <w:pPr>
        <w:spacing w:after="0" w:line="240" w:lineRule="auto"/>
      </w:pPr>
      <w:r>
        <w:separator/>
      </w:r>
    </w:p>
  </w:footnote>
  <w:footnote w:type="continuationSeparator" w:id="0">
    <w:p w14:paraId="722EBD9C" w14:textId="77777777" w:rsidR="00345978" w:rsidRDefault="003459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6B8"/>
    <w:rsid w:val="0000333A"/>
    <w:rsid w:val="00015E47"/>
    <w:rsid w:val="000D74E2"/>
    <w:rsid w:val="00112437"/>
    <w:rsid w:val="001C36A2"/>
    <w:rsid w:val="001F37F1"/>
    <w:rsid w:val="00322933"/>
    <w:rsid w:val="00345978"/>
    <w:rsid w:val="00427C6F"/>
    <w:rsid w:val="0044307A"/>
    <w:rsid w:val="00774729"/>
    <w:rsid w:val="007A6B99"/>
    <w:rsid w:val="007D5FDE"/>
    <w:rsid w:val="0082143D"/>
    <w:rsid w:val="008C4BCE"/>
    <w:rsid w:val="009166B8"/>
    <w:rsid w:val="00A545AC"/>
    <w:rsid w:val="00B063FB"/>
    <w:rsid w:val="00D052A9"/>
    <w:rsid w:val="00D21DBC"/>
    <w:rsid w:val="00E34F65"/>
    <w:rsid w:val="00EE5294"/>
    <w:rsid w:val="00FD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4A150"/>
  <w15:docId w15:val="{6172DD85-84F3-48F6-B0BD-2AC577CF7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3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6A2"/>
  </w:style>
  <w:style w:type="paragraph" w:styleId="Footer">
    <w:name w:val="footer"/>
    <w:basedOn w:val="Normal"/>
    <w:link w:val="FooterChar"/>
    <w:uiPriority w:val="99"/>
    <w:unhideWhenUsed/>
    <w:rsid w:val="001C3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65D1B-DE52-4403-BBBC-651D88A2E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2</cp:revision>
  <dcterms:created xsi:type="dcterms:W3CDTF">2026-07-03T01:33:00Z</dcterms:created>
  <dcterms:modified xsi:type="dcterms:W3CDTF">2026-07-03T01:33:00Z</dcterms:modified>
</cp:coreProperties>
</file>